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A16" w:rsidRDefault="009C0A16" w:rsidP="009C0A16">
      <w:pPr>
        <w:shd w:val="clear" w:color="auto" w:fill="FFFFFF"/>
        <w:rPr>
          <w:rFonts w:ascii="Arial" w:eastAsia="Times New Roman" w:hAnsi="Arial" w:cs="Arial"/>
          <w:color w:val="222222"/>
          <w:lang w:val="en-US" w:eastAsia="nb-NO"/>
        </w:rPr>
      </w:pPr>
      <w:r w:rsidRPr="00513035">
        <w:rPr>
          <w:rFonts w:ascii="Arial" w:eastAsia="Times New Roman" w:hAnsi="Arial" w:cs="Arial"/>
          <w:color w:val="222222"/>
          <w:lang w:val="en-US" w:eastAsia="nb-NO"/>
        </w:rPr>
        <w:t>The first-in-human study (phase I/</w:t>
      </w:r>
      <w:proofErr w:type="spellStart"/>
      <w:r w:rsidRPr="00513035">
        <w:rPr>
          <w:rFonts w:ascii="Arial" w:eastAsia="Times New Roman" w:hAnsi="Arial" w:cs="Arial"/>
          <w:color w:val="222222"/>
          <w:lang w:val="en-US" w:eastAsia="nb-NO"/>
        </w:rPr>
        <w:t>IIa</w:t>
      </w:r>
      <w:proofErr w:type="spellEnd"/>
      <w:r w:rsidRPr="00513035">
        <w:rPr>
          <w:rFonts w:ascii="Arial" w:eastAsia="Times New Roman" w:hAnsi="Arial" w:cs="Arial"/>
          <w:color w:val="222222"/>
          <w:lang w:val="en-US" w:eastAsia="nb-NO"/>
        </w:rPr>
        <w:t>), evaluating the safety and immunogenicity of VB10.16 in women with high grade cervical intraepithelial neoplasia (</w:t>
      </w:r>
      <w:proofErr w:type="spellStart"/>
      <w:r w:rsidRPr="00513035">
        <w:rPr>
          <w:rFonts w:ascii="Arial" w:eastAsia="Times New Roman" w:hAnsi="Arial" w:cs="Arial"/>
          <w:color w:val="222222"/>
          <w:lang w:val="en-US" w:eastAsia="nb-NO"/>
        </w:rPr>
        <w:t>HSIL</w:t>
      </w:r>
      <w:proofErr w:type="spellEnd"/>
      <w:r w:rsidRPr="00513035">
        <w:rPr>
          <w:rFonts w:ascii="Arial" w:eastAsia="Times New Roman" w:hAnsi="Arial" w:cs="Arial"/>
          <w:color w:val="222222"/>
          <w:lang w:val="en-US" w:eastAsia="nb-NO"/>
        </w:rPr>
        <w:t xml:space="preserve">; </w:t>
      </w:r>
      <w:proofErr w:type="spellStart"/>
      <w:r w:rsidRPr="00513035">
        <w:rPr>
          <w:rFonts w:ascii="Arial" w:eastAsia="Times New Roman" w:hAnsi="Arial" w:cs="Arial"/>
          <w:color w:val="222222"/>
          <w:lang w:val="en-US" w:eastAsia="nb-NO"/>
        </w:rPr>
        <w:t>CIN</w:t>
      </w:r>
      <w:proofErr w:type="spellEnd"/>
      <w:r w:rsidRPr="00513035">
        <w:rPr>
          <w:rFonts w:ascii="Arial" w:eastAsia="Times New Roman" w:hAnsi="Arial" w:cs="Arial"/>
          <w:color w:val="222222"/>
          <w:lang w:val="en-US" w:eastAsia="nb-NO"/>
        </w:rPr>
        <w:t xml:space="preserve"> 2/3) has published positive 12 months data. </w:t>
      </w:r>
      <w:proofErr w:type="spellStart"/>
      <w:r w:rsidRPr="00513035">
        <w:rPr>
          <w:rFonts w:ascii="Arial" w:eastAsia="Times New Roman" w:hAnsi="Arial" w:cs="Arial"/>
          <w:color w:val="222222"/>
          <w:lang w:val="en-US" w:eastAsia="nb-NO"/>
        </w:rPr>
        <w:t>Vaccibody</w:t>
      </w:r>
      <w:proofErr w:type="spellEnd"/>
      <w:r w:rsidRPr="00513035">
        <w:rPr>
          <w:rFonts w:ascii="Arial" w:eastAsia="Times New Roman" w:hAnsi="Arial" w:cs="Arial"/>
          <w:color w:val="222222"/>
          <w:lang w:val="en-US" w:eastAsia="nb-NO"/>
        </w:rPr>
        <w:t xml:space="preserve"> has recently started a collaboration with Roche, exploring VB10.16 in combination with their checkpoint inhibitor </w:t>
      </w:r>
      <w:proofErr w:type="spellStart"/>
      <w:r w:rsidRPr="00513035">
        <w:rPr>
          <w:rFonts w:ascii="Arial" w:eastAsia="Times New Roman" w:hAnsi="Arial" w:cs="Arial"/>
          <w:color w:val="222222"/>
          <w:lang w:val="en-US" w:eastAsia="nb-NO"/>
        </w:rPr>
        <w:t>atezolizumab</w:t>
      </w:r>
      <w:proofErr w:type="spellEnd"/>
      <w:r w:rsidRPr="00513035">
        <w:rPr>
          <w:rFonts w:ascii="Arial" w:eastAsia="Times New Roman" w:hAnsi="Arial" w:cs="Arial"/>
          <w:color w:val="222222"/>
          <w:lang w:val="en-US" w:eastAsia="nb-NO"/>
        </w:rPr>
        <w:t xml:space="preserve"> (</w:t>
      </w:r>
      <w:proofErr w:type="spellStart"/>
      <w:r w:rsidRPr="00513035">
        <w:rPr>
          <w:rFonts w:ascii="Arial" w:eastAsia="Times New Roman" w:hAnsi="Arial" w:cs="Arial"/>
          <w:color w:val="222222"/>
          <w:lang w:val="en-US" w:eastAsia="nb-NO"/>
        </w:rPr>
        <w:t>Tecentriq</w:t>
      </w:r>
      <w:proofErr w:type="spellEnd"/>
      <w:r w:rsidRPr="00513035">
        <w:rPr>
          <w:rFonts w:ascii="Arial" w:eastAsia="Times New Roman" w:hAnsi="Arial" w:cs="Arial"/>
          <w:color w:val="222222"/>
          <w:lang w:val="en-US" w:eastAsia="nb-NO"/>
        </w:rPr>
        <w:t>™) in patients with advanced or recurrent cervical cancer. First patient is expected to be vaccinated in Q1 2020.  </w:t>
      </w:r>
    </w:p>
    <w:p w:rsidR="007C1F14" w:rsidRDefault="007C1F14">
      <w:bookmarkStart w:id="0" w:name="_GoBack"/>
      <w:bookmarkEnd w:id="0"/>
    </w:p>
    <w:sectPr w:rsidR="007C1F14" w:rsidSect="000147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16"/>
    <w:rsid w:val="000147C5"/>
    <w:rsid w:val="00265A74"/>
    <w:rsid w:val="005D0E5E"/>
    <w:rsid w:val="007C1F14"/>
    <w:rsid w:val="009C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75E1"/>
  <w15:chartTrackingRefBased/>
  <w15:docId w15:val="{AC59B36C-F767-8B41-9423-AEB8E983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0A1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397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1</cp:revision>
  <dcterms:created xsi:type="dcterms:W3CDTF">2019-11-02T15:28:00Z</dcterms:created>
  <dcterms:modified xsi:type="dcterms:W3CDTF">2019-11-02T15:28:00Z</dcterms:modified>
</cp:coreProperties>
</file>